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064FF" w14:textId="77777777" w:rsidR="00025A6F" w:rsidRDefault="00025A6F" w:rsidP="00025A6F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tbl>
      <w:tblPr>
        <w:tblW w:w="9139" w:type="dxa"/>
        <w:tblLook w:val="04A0" w:firstRow="1" w:lastRow="0" w:firstColumn="1" w:lastColumn="0" w:noHBand="0" w:noVBand="1"/>
      </w:tblPr>
      <w:tblGrid>
        <w:gridCol w:w="3085"/>
        <w:gridCol w:w="6054"/>
      </w:tblGrid>
      <w:tr w:rsidR="00902B41" w:rsidRPr="001D4219" w14:paraId="441EA34F" w14:textId="77777777" w:rsidTr="001D4219">
        <w:trPr>
          <w:trHeight w:val="690"/>
        </w:trPr>
        <w:tc>
          <w:tcPr>
            <w:tcW w:w="3085" w:type="dxa"/>
            <w:vMerge w:val="restart"/>
            <w:shd w:val="clear" w:color="auto" w:fill="auto"/>
          </w:tcPr>
          <w:p w14:paraId="230F3DAA" w14:textId="77777777" w:rsidR="00902B41" w:rsidRDefault="00823EA2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 wp14:anchorId="2512AC60" wp14:editId="586BA887">
                  <wp:extent cx="1333500" cy="1320800"/>
                  <wp:effectExtent l="0" t="0" r="0" b="0"/>
                  <wp:docPr id="1" name="Picture 1" descr="esf_gree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f_gree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D70FC" w14:textId="77777777" w:rsidR="002152F0" w:rsidRPr="001D4219" w:rsidRDefault="002152F0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shd w:val="clear" w:color="auto" w:fill="auto"/>
          </w:tcPr>
          <w:p w14:paraId="70A43F4C" w14:textId="77777777" w:rsidR="00902B41" w:rsidRPr="001D4219" w:rsidRDefault="00902B41" w:rsidP="001D4219">
            <w:pPr>
              <w:jc w:val="both"/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</w:pPr>
          </w:p>
          <w:p w14:paraId="681D38F3" w14:textId="77777777" w:rsidR="00902B41" w:rsidRPr="001D4219" w:rsidRDefault="00902B41" w:rsidP="001D4219">
            <w:pPr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1D4219">
              <w:rPr>
                <w:rFonts w:ascii="Arial" w:hAnsi="Arial" w:cs="Arial"/>
                <w:b/>
                <w:bCs/>
                <w:sz w:val="32"/>
                <w:szCs w:val="32"/>
                <w:shd w:val="clear" w:color="auto" w:fill="7F7F7F"/>
                <w:lang w:val="en-US"/>
              </w:rPr>
              <w:t xml:space="preserve"> </w:t>
            </w:r>
            <w:r w:rsidRPr="001D4219">
              <w:rPr>
                <w:rFonts w:ascii="Arial" w:hAnsi="Arial" w:cs="Arial"/>
                <w:b/>
                <w:bCs/>
                <w:color w:val="FFFFFF"/>
                <w:sz w:val="32"/>
                <w:szCs w:val="32"/>
                <w:shd w:val="clear" w:color="auto" w:fill="7F7F7F"/>
                <w:lang w:val="en-US"/>
              </w:rPr>
              <w:t xml:space="preserve">Research Networking </w:t>
            </w:r>
            <w:proofErr w:type="gramStart"/>
            <w:r w:rsidRPr="001D4219">
              <w:rPr>
                <w:rFonts w:ascii="Arial" w:hAnsi="Arial" w:cs="Arial"/>
                <w:b/>
                <w:bCs/>
                <w:color w:val="FFFFFF"/>
                <w:sz w:val="32"/>
                <w:szCs w:val="32"/>
                <w:shd w:val="clear" w:color="auto" w:fill="7F7F7F"/>
                <w:lang w:val="en-US"/>
              </w:rPr>
              <w:t>Programmes</w:t>
            </w:r>
            <w:r w:rsidRPr="001D4219">
              <w:rPr>
                <w:rFonts w:ascii="Arial" w:hAnsi="Arial" w:cs="Arial"/>
                <w:b/>
                <w:bCs/>
                <w:color w:val="FFFFFF"/>
                <w:sz w:val="32"/>
                <w:szCs w:val="32"/>
                <w:shd w:val="clear" w:color="auto" w:fill="BFBFBF"/>
                <w:lang w:val="en-US"/>
              </w:rPr>
              <w:t xml:space="preserve">      </w:t>
            </w:r>
            <w:proofErr w:type="gramEnd"/>
          </w:p>
        </w:tc>
      </w:tr>
      <w:tr w:rsidR="00902B41" w:rsidRPr="001D4219" w14:paraId="6D32989C" w14:textId="77777777" w:rsidTr="001D4219">
        <w:trPr>
          <w:trHeight w:val="690"/>
        </w:trPr>
        <w:tc>
          <w:tcPr>
            <w:tcW w:w="3085" w:type="dxa"/>
            <w:vMerge/>
            <w:shd w:val="clear" w:color="auto" w:fill="auto"/>
          </w:tcPr>
          <w:p w14:paraId="666BF027" w14:textId="77777777" w:rsidR="00902B41" w:rsidRPr="001D4219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shd w:val="clear" w:color="auto" w:fill="auto"/>
          </w:tcPr>
          <w:p w14:paraId="55E8FBEE" w14:textId="77777777" w:rsidR="00902B41" w:rsidRPr="001D4219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  <w:p w14:paraId="6615CBA6" w14:textId="77777777" w:rsidR="00214932" w:rsidRPr="00401D43" w:rsidRDefault="00214932" w:rsidP="002152F0">
            <w:pPr>
              <w:jc w:val="both"/>
              <w:rPr>
                <w:rFonts w:ascii="Arial" w:hAnsi="Arial" w:cs="Arial"/>
                <w:b/>
                <w:bCs/>
                <w:color w:val="595959"/>
                <w:sz w:val="32"/>
                <w:szCs w:val="32"/>
                <w:lang w:val="en-US"/>
              </w:rPr>
            </w:pPr>
            <w:r w:rsidRPr="001D421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902B41" w:rsidRPr="001D4219" w14:paraId="00D543AB" w14:textId="77777777" w:rsidTr="001D4219">
        <w:trPr>
          <w:trHeight w:val="690"/>
        </w:trPr>
        <w:tc>
          <w:tcPr>
            <w:tcW w:w="3085" w:type="dxa"/>
            <w:vMerge/>
            <w:shd w:val="clear" w:color="auto" w:fill="auto"/>
          </w:tcPr>
          <w:p w14:paraId="49159BCC" w14:textId="77777777" w:rsidR="00902B41" w:rsidRPr="001D4219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shd w:val="clear" w:color="auto" w:fill="auto"/>
          </w:tcPr>
          <w:p w14:paraId="5D06B627" w14:textId="77777777" w:rsidR="00902B41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  <w:p w14:paraId="6586D639" w14:textId="77777777" w:rsidR="002152F0" w:rsidRPr="001D4219" w:rsidRDefault="002152F0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091AD5F" w14:textId="77777777" w:rsidR="002152F0" w:rsidRDefault="00E02D0D" w:rsidP="002152F0">
      <w:pPr>
        <w:spacing w:before="240"/>
        <w:jc w:val="center"/>
        <w:rPr>
          <w:rFonts w:ascii="Arial" w:hAnsi="Arial" w:cs="Lucida Sans Unicode"/>
          <w:b/>
          <w:color w:val="5F5F5F"/>
          <w:sz w:val="30"/>
          <w:szCs w:val="30"/>
        </w:rPr>
      </w:pPr>
      <w:r w:rsidRPr="00497B5F">
        <w:rPr>
          <w:rFonts w:ascii="Arial" w:hAnsi="Arial" w:cs="Arial"/>
          <w:b/>
          <w:color w:val="5F5F5F"/>
          <w:sz w:val="28"/>
          <w:szCs w:val="28"/>
          <w:lang w:val="en-US"/>
        </w:rPr>
        <w:t xml:space="preserve">Short </w:t>
      </w:r>
      <w:r w:rsidR="00497B5F" w:rsidRPr="00497B5F">
        <w:rPr>
          <w:rFonts w:ascii="Arial" w:hAnsi="Arial" w:cs="Arial"/>
          <w:b/>
          <w:color w:val="5F5F5F"/>
          <w:sz w:val="28"/>
          <w:szCs w:val="28"/>
          <w:lang w:val="en-US"/>
        </w:rPr>
        <w:t xml:space="preserve">Visit Grant </w:t>
      </w:r>
      <w:r w:rsidR="00497B5F" w:rsidRPr="00497B5F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7B5F" w:rsidRPr="00497B5F">
        <w:rPr>
          <w:rFonts w:ascii="Arial" w:hAnsi="Arial" w:cs="Arial"/>
          <w:sz w:val="28"/>
          <w:szCs w:val="28"/>
        </w:rPr>
        <w:instrText xml:space="preserve"> FORMCHECKBOX </w:instrText>
      </w:r>
      <w:r w:rsidR="00497B5F" w:rsidRPr="00497B5F">
        <w:rPr>
          <w:rFonts w:ascii="Arial" w:hAnsi="Arial" w:cs="Arial"/>
          <w:sz w:val="28"/>
          <w:szCs w:val="28"/>
        </w:rPr>
      </w:r>
      <w:r w:rsidR="00497B5F" w:rsidRPr="00497B5F">
        <w:rPr>
          <w:rFonts w:ascii="Arial" w:hAnsi="Arial" w:cs="Arial"/>
          <w:sz w:val="28"/>
          <w:szCs w:val="28"/>
        </w:rPr>
        <w:fldChar w:fldCharType="end"/>
      </w:r>
      <w:r w:rsidR="00497B5F" w:rsidRPr="00497B5F">
        <w:rPr>
          <w:rFonts w:ascii="Arial" w:hAnsi="Arial" w:cs="Arial"/>
          <w:sz w:val="28"/>
          <w:szCs w:val="28"/>
        </w:rPr>
        <w:t xml:space="preserve"> </w:t>
      </w:r>
      <w:r w:rsidR="00497B5F" w:rsidRPr="00497B5F">
        <w:rPr>
          <w:rFonts w:ascii="Arial" w:hAnsi="Arial" w:cs="Arial"/>
          <w:b/>
          <w:sz w:val="28"/>
          <w:szCs w:val="28"/>
        </w:rPr>
        <w:t>or</w:t>
      </w:r>
      <w:r w:rsidR="00497B5F" w:rsidRPr="00497B5F">
        <w:rPr>
          <w:rFonts w:ascii="Arial" w:hAnsi="Arial" w:cs="Arial"/>
          <w:sz w:val="28"/>
          <w:szCs w:val="28"/>
        </w:rPr>
        <w:t xml:space="preserve"> </w:t>
      </w:r>
      <w:r w:rsidR="00B44342" w:rsidRPr="00497B5F">
        <w:rPr>
          <w:rFonts w:ascii="Arial" w:hAnsi="Arial" w:cs="Arial"/>
          <w:b/>
          <w:color w:val="5F5F5F"/>
          <w:sz w:val="28"/>
          <w:szCs w:val="28"/>
        </w:rPr>
        <w:t>Exchange</w:t>
      </w:r>
      <w:r w:rsidR="009F3A0E" w:rsidRPr="00497B5F">
        <w:rPr>
          <w:rFonts w:ascii="Arial" w:hAnsi="Arial" w:cs="Arial"/>
          <w:b/>
          <w:color w:val="5F5F5F"/>
          <w:sz w:val="28"/>
          <w:szCs w:val="28"/>
        </w:rPr>
        <w:t xml:space="preserve"> Visit </w:t>
      </w:r>
      <w:r w:rsidRPr="00497B5F">
        <w:rPr>
          <w:rFonts w:ascii="Arial" w:hAnsi="Arial" w:cs="Arial"/>
          <w:b/>
          <w:color w:val="5F5F5F"/>
          <w:sz w:val="28"/>
          <w:szCs w:val="28"/>
        </w:rPr>
        <w:t>Grant</w:t>
      </w:r>
      <w:r w:rsidR="00497B5F">
        <w:rPr>
          <w:rFonts w:ascii="Arial" w:hAnsi="Arial" w:cs="Lucida Sans Unicode"/>
          <w:b/>
          <w:color w:val="5F5F5F"/>
          <w:sz w:val="30"/>
          <w:szCs w:val="30"/>
        </w:rPr>
        <w:t xml:space="preserve"> </w:t>
      </w:r>
      <w:r w:rsidR="00497B5F" w:rsidRPr="00D56C02">
        <w:rPr>
          <w:rFonts w:ascii="Verdana" w:hAnsi="Verdan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97B5F" w:rsidRPr="00D56C02">
        <w:rPr>
          <w:rFonts w:ascii="Verdana" w:hAnsi="Verdana" w:cs="Tahoma"/>
        </w:rPr>
        <w:instrText xml:space="preserve"> FORMCHECKBOX </w:instrText>
      </w:r>
      <w:r w:rsidR="00497B5F" w:rsidRPr="00D56C02">
        <w:rPr>
          <w:rFonts w:ascii="Verdana" w:hAnsi="Verdana" w:cs="Tahoma"/>
        </w:rPr>
      </w:r>
      <w:r w:rsidR="00497B5F" w:rsidRPr="00D56C02">
        <w:rPr>
          <w:rFonts w:ascii="Verdana" w:hAnsi="Verdana" w:cs="Tahoma"/>
        </w:rPr>
        <w:fldChar w:fldCharType="end"/>
      </w:r>
      <w:r w:rsidR="00902B41">
        <w:rPr>
          <w:rFonts w:ascii="Arial" w:hAnsi="Arial" w:cs="Lucida Sans Unicode"/>
          <w:b/>
          <w:color w:val="5F5F5F"/>
          <w:sz w:val="30"/>
          <w:szCs w:val="30"/>
        </w:rPr>
        <w:t xml:space="preserve"> </w:t>
      </w:r>
    </w:p>
    <w:p w14:paraId="3FB4DC78" w14:textId="77777777" w:rsidR="00025A6F" w:rsidRPr="002152F0" w:rsidRDefault="00497B5F" w:rsidP="002152F0">
      <w:pPr>
        <w:spacing w:before="240"/>
        <w:jc w:val="center"/>
        <w:rPr>
          <w:rFonts w:ascii="Arial" w:hAnsi="Arial" w:cs="Lucida Sans Unicode"/>
          <w:b/>
          <w:color w:val="5F5F5F"/>
          <w:sz w:val="18"/>
          <w:szCs w:val="18"/>
        </w:rPr>
      </w:pPr>
      <w:r w:rsidRPr="002152F0">
        <w:rPr>
          <w:rFonts w:ascii="Arial" w:hAnsi="Arial" w:cs="Lucida Sans Unicode"/>
          <w:b/>
          <w:i/>
          <w:color w:val="5F5F5F"/>
          <w:sz w:val="18"/>
          <w:szCs w:val="18"/>
        </w:rPr>
        <w:t>(</w:t>
      </w:r>
      <w:proofErr w:type="gramStart"/>
      <w:r w:rsidRPr="002152F0">
        <w:rPr>
          <w:rFonts w:ascii="Arial" w:hAnsi="Arial" w:cs="Lucida Sans Unicode"/>
          <w:b/>
          <w:i/>
          <w:color w:val="5F5F5F"/>
          <w:sz w:val="18"/>
          <w:szCs w:val="18"/>
        </w:rPr>
        <w:t>please</w:t>
      </w:r>
      <w:proofErr w:type="gramEnd"/>
      <w:r w:rsidRPr="002152F0">
        <w:rPr>
          <w:rFonts w:ascii="Arial" w:hAnsi="Arial" w:cs="Lucida Sans Unicode"/>
          <w:b/>
          <w:i/>
          <w:color w:val="5F5F5F"/>
          <w:sz w:val="18"/>
          <w:szCs w:val="18"/>
        </w:rPr>
        <w:t xml:space="preserve"> tick the relevant box)</w:t>
      </w:r>
      <w:r w:rsidRPr="002152F0">
        <w:rPr>
          <w:rFonts w:ascii="Arial" w:hAnsi="Arial" w:cs="Lucida Sans Unicode"/>
          <w:b/>
          <w:color w:val="5F5F5F"/>
          <w:sz w:val="18"/>
          <w:szCs w:val="18"/>
        </w:rPr>
        <w:t xml:space="preserve"> </w:t>
      </w:r>
      <w:r w:rsidR="00F71115" w:rsidRPr="002152F0">
        <w:rPr>
          <w:rFonts w:ascii="Arial" w:hAnsi="Arial" w:cs="Lucida Sans Unicode"/>
          <w:b/>
          <w:color w:val="5F5F5F"/>
          <w:sz w:val="18"/>
          <w:szCs w:val="18"/>
        </w:rPr>
        <w:t xml:space="preserve"> </w:t>
      </w:r>
    </w:p>
    <w:p w14:paraId="187ACD76" w14:textId="77777777" w:rsidR="002152F0" w:rsidRPr="00497B5F" w:rsidRDefault="002152F0" w:rsidP="002152F0">
      <w:pPr>
        <w:spacing w:before="240"/>
        <w:jc w:val="center"/>
        <w:rPr>
          <w:rFonts w:ascii="Arial" w:hAnsi="Arial" w:cs="Arial"/>
          <w:b/>
          <w:color w:val="5F5F5F"/>
          <w:sz w:val="28"/>
          <w:szCs w:val="28"/>
        </w:rPr>
      </w:pPr>
      <w:r w:rsidRPr="00497B5F">
        <w:rPr>
          <w:rFonts w:ascii="Arial" w:hAnsi="Arial" w:cs="Arial"/>
          <w:b/>
          <w:color w:val="5F5F5F"/>
          <w:sz w:val="28"/>
          <w:szCs w:val="28"/>
        </w:rPr>
        <w:t>Scientific Report</w:t>
      </w:r>
    </w:p>
    <w:p w14:paraId="3A28EC34" w14:textId="77777777" w:rsidR="00025A6F" w:rsidRPr="00D73FD9" w:rsidRDefault="00025A6F" w:rsidP="00585762">
      <w:pPr>
        <w:keepNext/>
        <w:rPr>
          <w:rFonts w:ascii="Arial" w:hAnsi="Arial" w:cs="Lucida Sans Unicode"/>
          <w:sz w:val="20"/>
          <w:szCs w:val="20"/>
        </w:rPr>
      </w:pPr>
    </w:p>
    <w:p w14:paraId="4EFA538B" w14:textId="77777777" w:rsidR="00D73FD9" w:rsidRPr="00D73FD9" w:rsidRDefault="00D73FD9" w:rsidP="00585762">
      <w:pPr>
        <w:keepNext/>
        <w:rPr>
          <w:rFonts w:ascii="Arial" w:hAnsi="Arial" w:cs="Lucida Sans Unicode"/>
          <w:sz w:val="20"/>
          <w:szCs w:val="20"/>
        </w:rPr>
      </w:pPr>
    </w:p>
    <w:p w14:paraId="7463CE5D" w14:textId="77777777" w:rsidR="00902B41" w:rsidRDefault="00472CCC" w:rsidP="00902B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The s</w:t>
      </w:r>
      <w:r w:rsidR="00E02D0D">
        <w:rPr>
          <w:rFonts w:ascii="Arial" w:hAnsi="Arial" w:cs="Arial"/>
          <w:b/>
          <w:color w:val="008000"/>
          <w:sz w:val="22"/>
          <w:szCs w:val="22"/>
        </w:rPr>
        <w:t>cientific report</w:t>
      </w:r>
      <w:r w:rsidR="00D94C01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="00C12EBF">
        <w:rPr>
          <w:rFonts w:ascii="Arial" w:hAnsi="Arial" w:cs="Arial"/>
          <w:b/>
          <w:color w:val="008000"/>
          <w:sz w:val="22"/>
          <w:szCs w:val="22"/>
        </w:rPr>
        <w:t>(WORD or PDF file</w:t>
      </w:r>
      <w:r w:rsidR="00FE004D">
        <w:rPr>
          <w:rFonts w:ascii="Arial" w:hAnsi="Arial" w:cs="Arial"/>
          <w:b/>
          <w:color w:val="008000"/>
          <w:sz w:val="22"/>
          <w:szCs w:val="22"/>
        </w:rPr>
        <w:t xml:space="preserve"> – maximum of eight A4 pages</w:t>
      </w:r>
      <w:r w:rsidR="00C12EBF">
        <w:rPr>
          <w:rFonts w:ascii="Arial" w:hAnsi="Arial" w:cs="Arial"/>
          <w:b/>
          <w:color w:val="008000"/>
          <w:sz w:val="22"/>
          <w:szCs w:val="22"/>
        </w:rPr>
        <w:t xml:space="preserve">) </w:t>
      </w:r>
      <w:r w:rsidR="00902B41" w:rsidRPr="00902B41">
        <w:rPr>
          <w:rFonts w:ascii="Arial" w:hAnsi="Arial" w:cs="Arial"/>
          <w:b/>
          <w:color w:val="008000"/>
          <w:sz w:val="22"/>
          <w:szCs w:val="22"/>
        </w:rPr>
        <w:t>should be submitted online</w:t>
      </w:r>
      <w:r w:rsidR="00902B41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="00E02D0D">
        <w:rPr>
          <w:rFonts w:ascii="Arial" w:hAnsi="Arial" w:cs="Arial"/>
          <w:b/>
          <w:color w:val="008000"/>
          <w:sz w:val="22"/>
          <w:szCs w:val="22"/>
          <w:u w:val="single"/>
        </w:rPr>
        <w:t>within one month of the event</w:t>
      </w:r>
      <w:r w:rsidR="00902B41">
        <w:rPr>
          <w:rFonts w:ascii="Arial" w:hAnsi="Arial" w:cs="Arial"/>
          <w:b/>
          <w:color w:val="008000"/>
          <w:sz w:val="22"/>
          <w:szCs w:val="22"/>
        </w:rPr>
        <w:t>.</w:t>
      </w:r>
      <w:r w:rsidR="00902B41" w:rsidRPr="00902B41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>
        <w:rPr>
          <w:rFonts w:ascii="Arial" w:hAnsi="Arial" w:cs="Arial"/>
          <w:b/>
          <w:color w:val="008000"/>
          <w:sz w:val="22"/>
          <w:szCs w:val="22"/>
        </w:rPr>
        <w:t>It will be published on the ESF website.</w:t>
      </w:r>
    </w:p>
    <w:p w14:paraId="33F0C1F1" w14:textId="77777777" w:rsidR="008761A9" w:rsidRDefault="008761A9" w:rsidP="00902B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8000"/>
          <w:sz w:val="22"/>
          <w:szCs w:val="22"/>
        </w:rPr>
      </w:pPr>
    </w:p>
    <w:p w14:paraId="364D13A4" w14:textId="77777777" w:rsidR="008761A9" w:rsidRDefault="008761A9" w:rsidP="008761A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5F5F5F"/>
          <w:sz w:val="22"/>
          <w:szCs w:val="22"/>
        </w:rPr>
      </w:pPr>
      <w:r w:rsidRPr="008761A9">
        <w:rPr>
          <w:rFonts w:ascii="Arial" w:hAnsi="Arial" w:cs="Arial"/>
          <w:b/>
          <w:i/>
          <w:color w:val="595959"/>
          <w:sz w:val="22"/>
          <w:szCs w:val="22"/>
          <w:u w:val="single"/>
        </w:rPr>
        <w:t>Proposal Title</w:t>
      </w:r>
      <w:r w:rsidRPr="008761A9">
        <w:rPr>
          <w:rFonts w:ascii="Arial" w:hAnsi="Arial" w:cs="Arial"/>
          <w:i/>
          <w:color w:val="595959"/>
          <w:sz w:val="22"/>
          <w:szCs w:val="22"/>
        </w:rPr>
        <w:t>:</w:t>
      </w:r>
      <w:r>
        <w:rPr>
          <w:rFonts w:ascii="Arial" w:hAnsi="Arial" w:cs="Arial"/>
          <w:i/>
          <w:color w:val="595959"/>
          <w:sz w:val="22"/>
          <w:szCs w:val="22"/>
        </w:rPr>
        <w:t xml:space="preserve"> </w:t>
      </w: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350BAD">
        <w:rPr>
          <w:rFonts w:ascii="Verdana" w:hAnsi="Verdana" w:cs="Tahoma"/>
          <w:noProof/>
        </w:rPr>
        <w:t>Crosstalk between RhoGTPase signaling and cytoskeletal remodeling during cell migration</w:t>
      </w:r>
      <w:r>
        <w:rPr>
          <w:rFonts w:ascii="Verdana" w:hAnsi="Verdana" w:cs="Tahoma"/>
          <w:noProof/>
        </w:rPr>
        <w:fldChar w:fldCharType="end"/>
      </w:r>
    </w:p>
    <w:p w14:paraId="45F7534B" w14:textId="77777777" w:rsidR="008761A9" w:rsidRDefault="008761A9" w:rsidP="008761A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5F5F5F"/>
          <w:sz w:val="22"/>
          <w:szCs w:val="22"/>
        </w:rPr>
      </w:pPr>
      <w:r w:rsidRPr="000A0801">
        <w:rPr>
          <w:rFonts w:ascii="Arial" w:hAnsi="Arial" w:cs="Arial"/>
          <w:b/>
          <w:i/>
          <w:color w:val="595959"/>
          <w:sz w:val="22"/>
          <w:szCs w:val="22"/>
          <w:u w:val="single"/>
        </w:rPr>
        <w:br/>
        <w:t>Application Reference N°</w:t>
      </w:r>
      <w:r w:rsidRPr="000A0801">
        <w:rPr>
          <w:rFonts w:ascii="Arial" w:hAnsi="Arial" w:cs="Arial"/>
          <w:b/>
          <w:i/>
          <w:color w:val="595959"/>
          <w:sz w:val="22"/>
          <w:szCs w:val="22"/>
        </w:rPr>
        <w:t xml:space="preserve">: </w:t>
      </w: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350BAD">
        <w:rPr>
          <w:rFonts w:ascii="Verdana" w:hAnsi="Verdana" w:cs="Tahoma"/>
          <w:noProof/>
        </w:rPr>
        <w:t>4377</w:t>
      </w:r>
      <w:r>
        <w:rPr>
          <w:rFonts w:ascii="Verdana" w:hAnsi="Verdana" w:cs="Tahoma"/>
          <w:noProof/>
        </w:rPr>
        <w:fldChar w:fldCharType="end"/>
      </w:r>
    </w:p>
    <w:p w14:paraId="3C43407C" w14:textId="77777777" w:rsidR="00FE3BC1" w:rsidRPr="00D01EFE" w:rsidRDefault="008761A9" w:rsidP="008761A9">
      <w:pPr>
        <w:keepNext/>
        <w:tabs>
          <w:tab w:val="left" w:pos="1935"/>
        </w:tabs>
        <w:jc w:val="both"/>
        <w:rPr>
          <w:rFonts w:ascii="Arial" w:hAnsi="Arial" w:cs="Lucida Sans Unicode"/>
          <w:b/>
          <w:sz w:val="20"/>
          <w:szCs w:val="20"/>
        </w:rPr>
      </w:pPr>
      <w:r>
        <w:rPr>
          <w:rFonts w:ascii="Arial" w:hAnsi="Arial" w:cs="Lucida Sans Unicode"/>
          <w:b/>
          <w:sz w:val="20"/>
          <w:szCs w:val="20"/>
        </w:rPr>
        <w:br/>
      </w:r>
      <w:r w:rsidR="00D94C01">
        <w:rPr>
          <w:rFonts w:ascii="Arial" w:hAnsi="Arial" w:cs="Lucida Sans Unicode"/>
          <w:b/>
          <w:sz w:val="20"/>
          <w:szCs w:val="20"/>
        </w:rPr>
        <w:tab/>
      </w:r>
    </w:p>
    <w:p w14:paraId="7B0D9F86" w14:textId="77777777" w:rsidR="00B24AD3" w:rsidRDefault="00E02D0D" w:rsidP="002152F0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Arial" w:hAnsi="Arial" w:cs="Lucida Sans Unicode"/>
          <w:b/>
          <w:color w:val="595959"/>
          <w:sz w:val="22"/>
          <w:szCs w:val="22"/>
        </w:rPr>
      </w:pPr>
      <w:r>
        <w:rPr>
          <w:rFonts w:ascii="Arial" w:hAnsi="Arial" w:cs="Lucida Sans Unicode"/>
          <w:b/>
          <w:color w:val="595959"/>
          <w:sz w:val="22"/>
          <w:szCs w:val="22"/>
        </w:rPr>
        <w:t>Purpose</w:t>
      </w:r>
      <w:r w:rsidR="001D2927">
        <w:rPr>
          <w:rFonts w:ascii="Arial" w:hAnsi="Arial" w:cs="Lucida Sans Unicode"/>
          <w:b/>
          <w:color w:val="595959"/>
          <w:sz w:val="22"/>
          <w:szCs w:val="22"/>
        </w:rPr>
        <w:t xml:space="preserve"> of the visit</w:t>
      </w:r>
    </w:p>
    <w:p w14:paraId="54ADC6A6" w14:textId="77777777" w:rsidR="00D94C01" w:rsidRDefault="00D94C01" w:rsidP="002152F0">
      <w:pPr>
        <w:autoSpaceDE w:val="0"/>
        <w:autoSpaceDN w:val="0"/>
        <w:adjustRightInd w:val="0"/>
        <w:ind w:hanging="720"/>
        <w:jc w:val="both"/>
        <w:rPr>
          <w:rFonts w:ascii="Arial" w:hAnsi="Arial" w:cs="Lucida Sans Unicode"/>
          <w:b/>
          <w:color w:val="595959"/>
          <w:sz w:val="22"/>
          <w:szCs w:val="22"/>
        </w:rPr>
      </w:pPr>
    </w:p>
    <w:bookmarkStart w:id="0" w:name="Text2"/>
    <w:p w14:paraId="29AAA898" w14:textId="77777777" w:rsidR="004861F5" w:rsidRDefault="00497B5F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Verdana" w:hAnsi="Verdana" w:cs="Tahoma"/>
          <w:noProof/>
        </w:rPr>
      </w:pP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4861F5">
        <w:rPr>
          <w:rFonts w:ascii="Verdana" w:hAnsi="Verdana" w:cs="Tahoma"/>
          <w:noProof/>
        </w:rPr>
        <w:t xml:space="preserve">The main goal of the visit at the Netherlands Cancer Institute </w:t>
      </w:r>
      <w:r w:rsidR="00944825">
        <w:rPr>
          <w:rFonts w:ascii="Verdana" w:hAnsi="Verdana" w:cs="Tahoma"/>
          <w:noProof/>
        </w:rPr>
        <w:t>was</w:t>
      </w:r>
      <w:r w:rsidR="004861F5">
        <w:rPr>
          <w:rFonts w:ascii="Verdana" w:hAnsi="Verdana" w:cs="Tahoma"/>
          <w:noProof/>
        </w:rPr>
        <w:t xml:space="preserve"> to establish future collaboration between experimental group lead by Dr.Metello Innocenti and a modeling group of Systems Biology</w:t>
      </w:r>
      <w:r w:rsidR="00823EA2">
        <w:rPr>
          <w:rFonts w:ascii="Verdana" w:hAnsi="Verdana" w:cs="Tahoma"/>
          <w:noProof/>
        </w:rPr>
        <w:t xml:space="preserve"> in Dublin, Ireland</w:t>
      </w:r>
      <w:r w:rsidR="004861F5">
        <w:rPr>
          <w:rFonts w:ascii="Verdana" w:hAnsi="Verdana" w:cs="Tahoma"/>
          <w:noProof/>
        </w:rPr>
        <w:t xml:space="preserve">. </w:t>
      </w:r>
    </w:p>
    <w:p w14:paraId="1312A457" w14:textId="3C694687" w:rsidR="00D94C01" w:rsidRDefault="00E63189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t xml:space="preserve">Both groups work to investigate the biochemical mechanisms underlying cell migration proccess. </w:t>
      </w:r>
      <w:r w:rsidR="00497B5F">
        <w:rPr>
          <w:rFonts w:ascii="Verdana" w:hAnsi="Verdana" w:cs="Tahoma"/>
          <w:noProof/>
        </w:rPr>
        <w:fldChar w:fldCharType="end"/>
      </w:r>
      <w:bookmarkEnd w:id="0"/>
    </w:p>
    <w:p w14:paraId="4D375E45" w14:textId="77777777" w:rsidR="00D94C01" w:rsidRPr="00D94C01" w:rsidRDefault="00D94C01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14:paraId="60284D8A" w14:textId="77777777" w:rsidR="00173BDF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>Description of the work carried out during the visit</w:t>
      </w:r>
    </w:p>
    <w:p w14:paraId="0533841F" w14:textId="77777777" w:rsidR="00173BDF" w:rsidRDefault="00173BDF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14:paraId="24605CB3" w14:textId="77777777" w:rsidR="00E71F27" w:rsidRDefault="00497B5F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Verdana" w:hAnsi="Verdana" w:cs="Tahoma"/>
          <w:noProof/>
        </w:rPr>
      </w:pP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E71F27">
        <w:rPr>
          <w:rFonts w:ascii="Verdana" w:hAnsi="Verdana" w:cs="Tahoma"/>
          <w:noProof/>
        </w:rPr>
        <w:t xml:space="preserve">The work </w:t>
      </w:r>
      <w:r w:rsidR="004861F5">
        <w:rPr>
          <w:rFonts w:ascii="Verdana" w:hAnsi="Verdana" w:cs="Tahoma"/>
          <w:noProof/>
        </w:rPr>
        <w:t>carried out</w:t>
      </w:r>
      <w:r w:rsidR="00E71F27">
        <w:rPr>
          <w:rFonts w:ascii="Verdana" w:hAnsi="Verdana" w:cs="Tahoma"/>
          <w:noProof/>
        </w:rPr>
        <w:t xml:space="preserve"> during the visit can be divided in the experimental and modeling part</w:t>
      </w:r>
      <w:r w:rsidR="004861F5">
        <w:rPr>
          <w:rFonts w:ascii="Verdana" w:hAnsi="Verdana" w:cs="Tahoma"/>
          <w:noProof/>
        </w:rPr>
        <w:t>:</w:t>
      </w:r>
    </w:p>
    <w:p w14:paraId="1FD104CA" w14:textId="77777777" w:rsidR="001A3F73" w:rsidRDefault="001A3F73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Verdana" w:hAnsi="Verdana" w:cs="Tahoma"/>
          <w:noProof/>
        </w:rPr>
      </w:pPr>
    </w:p>
    <w:p w14:paraId="30B170FB" w14:textId="60E82C4F" w:rsidR="00E748C5" w:rsidRDefault="00E71F27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Verdana" w:hAnsi="Verdana" w:cs="Tahoma"/>
          <w:noProof/>
        </w:rPr>
      </w:pPr>
      <w:r>
        <w:rPr>
          <w:rFonts w:ascii="Verdana" w:hAnsi="Verdana" w:cs="Tahoma"/>
          <w:noProof/>
        </w:rPr>
        <w:t>-</w:t>
      </w:r>
      <w:r w:rsidR="009741B7">
        <w:rPr>
          <w:rFonts w:ascii="Verdana" w:hAnsi="Verdana" w:cs="Tahoma"/>
          <w:noProof/>
        </w:rPr>
        <w:t>The m</w:t>
      </w:r>
      <w:r>
        <w:rPr>
          <w:rFonts w:ascii="Verdana" w:hAnsi="Verdana" w:cs="Tahoma"/>
          <w:noProof/>
        </w:rPr>
        <w:t>odel</w:t>
      </w:r>
      <w:r w:rsidR="009741B7">
        <w:rPr>
          <w:rFonts w:ascii="Verdana" w:hAnsi="Verdana" w:cs="Tahoma"/>
          <w:noProof/>
        </w:rPr>
        <w:t xml:space="preserve"> was constructed  based on the preexisting data in Dr.Innocenti's group.</w:t>
      </w:r>
      <w:r w:rsidR="001A3F73">
        <w:rPr>
          <w:rFonts w:ascii="Verdana" w:hAnsi="Verdana" w:cs="Tahoma"/>
          <w:noProof/>
        </w:rPr>
        <w:t xml:space="preserve"> The model is based on biochemical signaling </w:t>
      </w:r>
      <w:r w:rsidR="00211F35">
        <w:rPr>
          <w:rFonts w:ascii="Verdana" w:hAnsi="Verdana" w:cs="Tahoma"/>
          <w:noProof/>
        </w:rPr>
        <w:t>during the</w:t>
      </w:r>
      <w:r w:rsidR="001A3F73">
        <w:rPr>
          <w:rFonts w:ascii="Verdana" w:hAnsi="Verdana" w:cs="Tahoma"/>
          <w:noProof/>
        </w:rPr>
        <w:t xml:space="preserve"> F-actin polymerization. The model combines the biochemical </w:t>
      </w:r>
      <w:r w:rsidR="00211F35">
        <w:rPr>
          <w:rFonts w:ascii="Verdana" w:hAnsi="Verdana" w:cs="Tahoma"/>
          <w:noProof/>
        </w:rPr>
        <w:t>activities of proteins involved in cytoskeletal reorganization</w:t>
      </w:r>
      <w:r w:rsidR="001A3F73">
        <w:rPr>
          <w:rFonts w:ascii="Verdana" w:hAnsi="Verdana" w:cs="Tahoma"/>
          <w:noProof/>
        </w:rPr>
        <w:t xml:space="preserve"> and </w:t>
      </w:r>
      <w:r w:rsidR="00211F35">
        <w:rPr>
          <w:rFonts w:ascii="Verdana" w:hAnsi="Verdana" w:cs="Tahoma"/>
          <w:noProof/>
        </w:rPr>
        <w:t>their</w:t>
      </w:r>
      <w:r w:rsidR="001A3F73">
        <w:rPr>
          <w:rFonts w:ascii="Verdana" w:hAnsi="Verdana" w:cs="Tahoma"/>
          <w:noProof/>
        </w:rPr>
        <w:t xml:space="preserve"> </w:t>
      </w:r>
      <w:r w:rsidR="00E63189">
        <w:rPr>
          <w:rFonts w:ascii="Verdana" w:hAnsi="Verdana" w:cs="Tahoma"/>
          <w:noProof/>
        </w:rPr>
        <w:t>effect</w:t>
      </w:r>
      <w:r w:rsidR="001A3F73">
        <w:rPr>
          <w:rFonts w:ascii="Verdana" w:hAnsi="Verdana" w:cs="Tahoma"/>
          <w:noProof/>
        </w:rPr>
        <w:t xml:space="preserve"> on the cell morphology</w:t>
      </w:r>
      <w:r w:rsidR="00E63189">
        <w:rPr>
          <w:rFonts w:ascii="Verdana" w:hAnsi="Verdana" w:cs="Tahoma"/>
          <w:noProof/>
        </w:rPr>
        <w:t xml:space="preserve"> during cell motility</w:t>
      </w:r>
      <w:r w:rsidR="001A3F73">
        <w:rPr>
          <w:rFonts w:ascii="Verdana" w:hAnsi="Verdana" w:cs="Tahoma"/>
          <w:noProof/>
        </w:rPr>
        <w:t xml:space="preserve"> (cells exhibiting filopodia, lamellopodia, both</w:t>
      </w:r>
      <w:r w:rsidR="003F7050">
        <w:rPr>
          <w:rFonts w:ascii="Verdana" w:hAnsi="Verdana" w:cs="Tahoma"/>
          <w:noProof/>
        </w:rPr>
        <w:t xml:space="preserve"> or none).</w:t>
      </w:r>
      <w:r w:rsidR="009741B7">
        <w:rPr>
          <w:rFonts w:ascii="Verdana" w:hAnsi="Verdana" w:cs="Tahoma"/>
          <w:noProof/>
        </w:rPr>
        <w:t xml:space="preserve"> The model will further be refined and tested upon the return to Dublin</w:t>
      </w:r>
      <w:r w:rsidR="00823EA2">
        <w:rPr>
          <w:rFonts w:ascii="Verdana" w:hAnsi="Verdana" w:cs="Tahoma"/>
          <w:noProof/>
        </w:rPr>
        <w:t>.</w:t>
      </w:r>
    </w:p>
    <w:p w14:paraId="22481E7C" w14:textId="14DF9847" w:rsidR="00173BDF" w:rsidRDefault="00E748C5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lastRenderedPageBreak/>
        <w:t>-Experiments were carried out to elucidate the</w:t>
      </w:r>
      <w:r w:rsidR="009741B7">
        <w:rPr>
          <w:rFonts w:ascii="Verdana" w:hAnsi="Verdana" w:cs="Tahoma"/>
          <w:noProof/>
        </w:rPr>
        <w:t xml:space="preserve"> interaction mechanism between RhoGTPase RhoA and its effectors mDIA1 and ROCK</w:t>
      </w:r>
      <w:r w:rsidR="00823EA2">
        <w:rPr>
          <w:rFonts w:ascii="Verdana" w:hAnsi="Verdana" w:cs="Tahoma"/>
          <w:noProof/>
        </w:rPr>
        <w:t>1</w:t>
      </w:r>
      <w:r w:rsidR="009741B7">
        <w:rPr>
          <w:rFonts w:ascii="Verdana" w:hAnsi="Verdana" w:cs="Tahoma"/>
          <w:noProof/>
        </w:rPr>
        <w:t>.</w:t>
      </w:r>
      <w:r>
        <w:rPr>
          <w:rFonts w:ascii="Verdana" w:hAnsi="Verdana" w:cs="Tahoma"/>
          <w:noProof/>
        </w:rPr>
        <w:t xml:space="preserve"> </w:t>
      </w:r>
      <w:r w:rsidR="009741B7">
        <w:rPr>
          <w:rFonts w:ascii="Verdana" w:hAnsi="Verdana" w:cs="Tahoma"/>
          <w:noProof/>
        </w:rPr>
        <w:t>First, the localization and the number of interactions was assessed via Proximity Ligation Assay. Further, motility assays were done</w:t>
      </w:r>
      <w:r w:rsidR="00211F35">
        <w:rPr>
          <w:rFonts w:ascii="Verdana" w:hAnsi="Verdana" w:cs="Tahoma"/>
          <w:noProof/>
        </w:rPr>
        <w:t xml:space="preserve"> in different conditions (</w:t>
      </w:r>
      <w:r w:rsidR="009741B7">
        <w:rPr>
          <w:rFonts w:ascii="Verdana" w:hAnsi="Verdana" w:cs="Tahoma"/>
          <w:noProof/>
        </w:rPr>
        <w:t>serum starved and EGF stimulated conditions</w:t>
      </w:r>
      <w:r w:rsidR="00211F35">
        <w:rPr>
          <w:rFonts w:ascii="Verdana" w:hAnsi="Verdana" w:cs="Tahoma"/>
          <w:noProof/>
        </w:rPr>
        <w:t xml:space="preserve"> and</w:t>
      </w:r>
      <w:r w:rsidR="009741B7">
        <w:rPr>
          <w:rFonts w:ascii="Verdana" w:hAnsi="Verdana" w:cs="Tahoma"/>
          <w:noProof/>
        </w:rPr>
        <w:t xml:space="preserve"> in presence or absence of ROCK inhibitor</w:t>
      </w:r>
      <w:r w:rsidR="00211F35">
        <w:rPr>
          <w:rFonts w:ascii="Verdana" w:hAnsi="Verdana" w:cs="Tahoma"/>
          <w:noProof/>
        </w:rPr>
        <w:t>)</w:t>
      </w:r>
      <w:r w:rsidR="009741B7">
        <w:rPr>
          <w:rFonts w:ascii="Verdana" w:hAnsi="Verdana" w:cs="Tahoma"/>
          <w:noProof/>
        </w:rPr>
        <w:t xml:space="preserve">. </w:t>
      </w:r>
      <w:r w:rsidR="00C90713">
        <w:rPr>
          <w:rFonts w:ascii="Verdana" w:hAnsi="Verdana" w:cs="Tahoma"/>
          <w:noProof/>
        </w:rPr>
        <w:t xml:space="preserve">Finally, after </w:t>
      </w:r>
      <w:r w:rsidR="00211F35">
        <w:rPr>
          <w:rFonts w:ascii="Verdana" w:hAnsi="Verdana" w:cs="Tahoma"/>
          <w:noProof/>
        </w:rPr>
        <w:t>noticing</w:t>
      </w:r>
      <w:r w:rsidR="00C90713">
        <w:rPr>
          <w:rFonts w:ascii="Verdana" w:hAnsi="Verdana" w:cs="Tahoma"/>
          <w:noProof/>
        </w:rPr>
        <w:t xml:space="preserve"> a significant change in the directional migration, we </w:t>
      </w:r>
      <w:r w:rsidR="00211F35">
        <w:rPr>
          <w:rFonts w:ascii="Verdana" w:hAnsi="Verdana" w:cs="Tahoma"/>
          <w:noProof/>
        </w:rPr>
        <w:t xml:space="preserve">investigated this effect by performing </w:t>
      </w:r>
      <w:r w:rsidR="00C90713">
        <w:rPr>
          <w:rFonts w:ascii="Verdana" w:hAnsi="Verdana" w:cs="Tahoma"/>
          <w:noProof/>
        </w:rPr>
        <w:t>Dunn Chamber motility assay</w:t>
      </w:r>
      <w:r w:rsidR="00211F35">
        <w:rPr>
          <w:rFonts w:ascii="Verdana" w:hAnsi="Verdana" w:cs="Tahoma"/>
          <w:noProof/>
        </w:rPr>
        <w:t>s.</w:t>
      </w:r>
      <w:r w:rsidR="00E71F27">
        <w:rPr>
          <w:rFonts w:ascii="Verdana" w:hAnsi="Verdana" w:cs="Tahoma"/>
          <w:noProof/>
        </w:rPr>
        <w:t xml:space="preserve"> </w:t>
      </w:r>
      <w:r w:rsidR="00497B5F">
        <w:rPr>
          <w:rFonts w:ascii="Verdana" w:hAnsi="Verdana" w:cs="Tahoma"/>
          <w:noProof/>
        </w:rPr>
        <w:fldChar w:fldCharType="end"/>
      </w:r>
      <w:r w:rsidR="00497B5F">
        <w:rPr>
          <w:rFonts w:ascii="Verdana" w:hAnsi="Verdana" w:cs="Tahoma"/>
          <w:noProof/>
        </w:rPr>
        <w:t> </w:t>
      </w:r>
      <w:r w:rsidR="00497B5F">
        <w:rPr>
          <w:rFonts w:ascii="Verdana" w:hAnsi="Verdana" w:cs="Tahoma"/>
          <w:noProof/>
        </w:rPr>
        <w:t> </w:t>
      </w:r>
      <w:r w:rsidR="00497B5F">
        <w:rPr>
          <w:rFonts w:ascii="Verdana" w:hAnsi="Verdana" w:cs="Tahoma"/>
          <w:noProof/>
        </w:rPr>
        <w:t> </w:t>
      </w:r>
    </w:p>
    <w:p w14:paraId="43C63198" w14:textId="77777777" w:rsidR="00173BDF" w:rsidRDefault="00173BDF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14:paraId="2569770D" w14:textId="77777777" w:rsidR="00D94C01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>Description of the main results obtained</w:t>
      </w:r>
    </w:p>
    <w:p w14:paraId="5A08F79A" w14:textId="77777777"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14:paraId="250FAC88" w14:textId="0B295F62" w:rsidR="00CE75E7" w:rsidRDefault="00497B5F" w:rsidP="002152F0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Verdana" w:hAnsi="Verdana" w:cs="Tahoma"/>
          <w:noProof/>
        </w:rPr>
      </w:pPr>
      <w:r>
        <w:rPr>
          <w:rFonts w:ascii="Verdana" w:hAnsi="Verdana" w:cs="Tahoma"/>
          <w:noProof/>
        </w:rPr>
        <w:tab/>
      </w: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823EA2">
        <w:rPr>
          <w:rFonts w:ascii="Verdana" w:hAnsi="Verdana" w:cs="Tahoma"/>
          <w:noProof/>
        </w:rPr>
        <w:t xml:space="preserve">Migration </w:t>
      </w:r>
      <w:r w:rsidR="00CE75E7">
        <w:rPr>
          <w:rFonts w:ascii="Verdana" w:hAnsi="Verdana" w:cs="Tahoma"/>
          <w:noProof/>
        </w:rPr>
        <w:t>i</w:t>
      </w:r>
      <w:r w:rsidR="00823EA2">
        <w:rPr>
          <w:rFonts w:ascii="Verdana" w:hAnsi="Verdana" w:cs="Tahoma"/>
          <w:noProof/>
        </w:rPr>
        <w:t>s a translocation of the cell body, which underlies important cellular mechanisms such as wound healing and</w:t>
      </w:r>
      <w:r w:rsidR="00CE75E7">
        <w:rPr>
          <w:rFonts w:ascii="Verdana" w:hAnsi="Verdana" w:cs="Tahoma"/>
          <w:noProof/>
        </w:rPr>
        <w:t xml:space="preserve"> embryonic development but is also responsible for pathological conditions such as cancer invasion and metastasis</w:t>
      </w:r>
      <w:r w:rsidR="00CD292F">
        <w:rPr>
          <w:rFonts w:ascii="Verdana" w:hAnsi="Verdana" w:cs="Tahoma"/>
          <w:noProof/>
        </w:rPr>
        <w:t xml:space="preserve"> [1]</w:t>
      </w:r>
      <w:r w:rsidR="00CE75E7">
        <w:rPr>
          <w:rFonts w:ascii="Verdana" w:hAnsi="Verdana" w:cs="Tahoma"/>
          <w:noProof/>
        </w:rPr>
        <w:t>. The understanding of the underlying biochemical mechanisms controlling cell migration is crucial and can potentially establish ways to inhibit the disease progression.</w:t>
      </w:r>
    </w:p>
    <w:p w14:paraId="655AB239" w14:textId="77777777" w:rsidR="0002783B" w:rsidRDefault="0002783B" w:rsidP="002152F0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Verdana" w:hAnsi="Verdana" w:cs="Tahoma"/>
          <w:noProof/>
        </w:rPr>
      </w:pPr>
    </w:p>
    <w:p w14:paraId="63742639" w14:textId="4E5337C3" w:rsidR="00AC3940" w:rsidRDefault="0002783B" w:rsidP="002152F0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Verdana" w:hAnsi="Verdana" w:cs="Tahoma"/>
          <w:noProof/>
        </w:rPr>
      </w:pPr>
      <w:r>
        <w:rPr>
          <w:rFonts w:ascii="Verdana" w:hAnsi="Verdana" w:cs="Tahoma"/>
          <w:noProof/>
        </w:rPr>
        <w:t xml:space="preserve">                 </w:t>
      </w:r>
      <w:r w:rsidR="00CE75E7">
        <w:rPr>
          <w:rFonts w:ascii="Verdana" w:hAnsi="Verdana" w:cs="Tahoma"/>
          <w:noProof/>
        </w:rPr>
        <w:t>Our study focuses on the biochemical control of</w:t>
      </w:r>
      <w:r w:rsidR="00AC3940">
        <w:rPr>
          <w:rFonts w:ascii="Verdana" w:hAnsi="Verdana" w:cs="Tahoma"/>
          <w:noProof/>
        </w:rPr>
        <w:t xml:space="preserve"> cell migration by</w:t>
      </w:r>
      <w:r w:rsidR="00CE75E7">
        <w:rPr>
          <w:rFonts w:ascii="Verdana" w:hAnsi="Verdana" w:cs="Tahoma"/>
          <w:noProof/>
        </w:rPr>
        <w:t xml:space="preserve"> the activities of G proteins (GTPases), in  particular by</w:t>
      </w:r>
      <w:r w:rsidR="009A32AB">
        <w:rPr>
          <w:rFonts w:ascii="Verdana" w:hAnsi="Verdana" w:cs="Tahoma"/>
          <w:noProof/>
        </w:rPr>
        <w:t xml:space="preserve"> the most prominent RhoGTPase</w:t>
      </w:r>
      <w:r w:rsidR="00CE75E7">
        <w:rPr>
          <w:rFonts w:ascii="Verdana" w:hAnsi="Verdana" w:cs="Tahoma"/>
          <w:noProof/>
        </w:rPr>
        <w:t xml:space="preserve"> RhoA</w:t>
      </w:r>
      <w:r w:rsidR="006B7651">
        <w:rPr>
          <w:rFonts w:ascii="Verdana" w:hAnsi="Verdana" w:cs="Tahoma"/>
          <w:noProof/>
        </w:rPr>
        <w:t xml:space="preserve"> </w:t>
      </w:r>
      <w:r w:rsidR="00AC3940">
        <w:rPr>
          <w:rFonts w:ascii="Verdana" w:hAnsi="Verdana" w:cs="Tahoma"/>
          <w:noProof/>
        </w:rPr>
        <w:t>and its dowstream effector proteins mDIA1 and ROCK</w:t>
      </w:r>
      <w:r w:rsidR="006B7651">
        <w:rPr>
          <w:rFonts w:ascii="Verdana" w:hAnsi="Verdana" w:cs="Tahoma"/>
          <w:noProof/>
        </w:rPr>
        <w:t>1</w:t>
      </w:r>
      <w:r w:rsidR="00AC3940">
        <w:rPr>
          <w:rFonts w:ascii="Verdana" w:hAnsi="Verdana" w:cs="Tahoma"/>
          <w:noProof/>
        </w:rPr>
        <w:t xml:space="preserve">. </w:t>
      </w:r>
      <w:r w:rsidR="009A32AB">
        <w:rPr>
          <w:rFonts w:ascii="Verdana" w:hAnsi="Verdana" w:cs="Tahoma"/>
          <w:noProof/>
        </w:rPr>
        <w:t>Both mDIA1 and ROCK1 mediate Rho</w:t>
      </w:r>
      <w:r w:rsidR="006B7651">
        <w:rPr>
          <w:rFonts w:ascii="Verdana" w:hAnsi="Verdana" w:cs="Tahoma"/>
          <w:noProof/>
        </w:rPr>
        <w:t>A</w:t>
      </w:r>
      <w:r w:rsidR="009A32AB">
        <w:rPr>
          <w:rFonts w:ascii="Verdana" w:hAnsi="Verdana" w:cs="Tahoma"/>
          <w:noProof/>
        </w:rPr>
        <w:t xml:space="preserve"> action on the actin cytoskeleton; mDia</w:t>
      </w:r>
      <w:r w:rsidR="006B7651">
        <w:rPr>
          <w:rFonts w:ascii="Verdana" w:hAnsi="Verdana" w:cs="Tahoma"/>
          <w:noProof/>
        </w:rPr>
        <w:t>1</w:t>
      </w:r>
      <w:r w:rsidR="009A32AB">
        <w:rPr>
          <w:rFonts w:ascii="Verdana" w:hAnsi="Verdana" w:cs="Tahoma"/>
          <w:noProof/>
        </w:rPr>
        <w:t xml:space="preserve"> produces actin filamets by nucleation and polymerization, while ROCK is responsible for the induction of actomyosin bundles and contractility [</w:t>
      </w:r>
      <w:r w:rsidR="00CD292F">
        <w:rPr>
          <w:rFonts w:ascii="Verdana" w:hAnsi="Verdana" w:cs="Tahoma"/>
          <w:noProof/>
        </w:rPr>
        <w:t>2</w:t>
      </w:r>
      <w:r w:rsidR="009A32AB">
        <w:rPr>
          <w:rFonts w:ascii="Verdana" w:hAnsi="Verdana" w:cs="Tahoma"/>
          <w:noProof/>
        </w:rPr>
        <w:t>]. Hence, cell morphogenesis, adhesion and motility can be determined by the balance between these</w:t>
      </w:r>
      <w:r w:rsidR="006B7651">
        <w:rPr>
          <w:rFonts w:ascii="Verdana" w:hAnsi="Verdana" w:cs="Tahoma"/>
          <w:noProof/>
        </w:rPr>
        <w:t xml:space="preserve"> two</w:t>
      </w:r>
      <w:r w:rsidR="009A32AB">
        <w:rPr>
          <w:rFonts w:ascii="Verdana" w:hAnsi="Verdana" w:cs="Tahoma"/>
          <w:noProof/>
        </w:rPr>
        <w:t xml:space="preserve"> effectors [</w:t>
      </w:r>
      <w:r w:rsidR="00CD292F">
        <w:rPr>
          <w:rFonts w:ascii="Verdana" w:hAnsi="Verdana" w:cs="Tahoma"/>
          <w:noProof/>
        </w:rPr>
        <w:t>2</w:t>
      </w:r>
      <w:r w:rsidR="009A32AB">
        <w:rPr>
          <w:rFonts w:ascii="Verdana" w:hAnsi="Verdana" w:cs="Tahoma"/>
          <w:noProof/>
        </w:rPr>
        <w:t>].</w:t>
      </w:r>
      <w:r w:rsidR="00AC3940">
        <w:rPr>
          <w:rFonts w:ascii="Verdana" w:hAnsi="Verdana" w:cs="Tahoma"/>
          <w:noProof/>
        </w:rPr>
        <w:t xml:space="preserve"> Though the interaction of RhoA and mDIA and ROCK has been extensively described, the interplay between these effectors depending on different cell localizations has never been investigated.</w:t>
      </w:r>
    </w:p>
    <w:p w14:paraId="79EB39A9" w14:textId="77777777" w:rsidR="0002783B" w:rsidRDefault="0002783B" w:rsidP="002152F0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Verdana" w:hAnsi="Verdana" w:cs="Tahoma"/>
          <w:noProof/>
        </w:rPr>
      </w:pPr>
    </w:p>
    <w:p w14:paraId="50100A3F" w14:textId="364E051B" w:rsidR="0002783B" w:rsidRDefault="0002783B" w:rsidP="002152F0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Verdana" w:hAnsi="Verdana" w:cs="Tahoma"/>
          <w:noProof/>
        </w:rPr>
      </w:pPr>
      <w:r>
        <w:rPr>
          <w:rFonts w:ascii="Verdana" w:hAnsi="Verdana" w:cs="Tahoma"/>
          <w:noProof/>
        </w:rPr>
        <w:t xml:space="preserve">                 </w:t>
      </w:r>
      <w:r w:rsidR="00AC3940">
        <w:rPr>
          <w:rFonts w:ascii="Verdana" w:hAnsi="Verdana" w:cs="Tahoma"/>
          <w:noProof/>
        </w:rPr>
        <w:t>In the current study, we used Proximity Ligation Assay</w:t>
      </w:r>
      <w:r w:rsidR="006B7651">
        <w:rPr>
          <w:rFonts w:ascii="Verdana" w:hAnsi="Verdana" w:cs="Tahoma"/>
          <w:noProof/>
        </w:rPr>
        <w:t xml:space="preserve"> (PLA)</w:t>
      </w:r>
      <w:r w:rsidR="00AC3940">
        <w:rPr>
          <w:rFonts w:ascii="Verdana" w:hAnsi="Verdana" w:cs="Tahoma"/>
          <w:noProof/>
        </w:rPr>
        <w:t>, which allowed</w:t>
      </w:r>
      <w:r w:rsidR="00E63189">
        <w:rPr>
          <w:rFonts w:ascii="Verdana" w:hAnsi="Verdana" w:cs="Tahoma"/>
          <w:noProof/>
        </w:rPr>
        <w:t xml:space="preserve"> to</w:t>
      </w:r>
      <w:r w:rsidR="00AC3940">
        <w:rPr>
          <w:rFonts w:ascii="Verdana" w:hAnsi="Verdana" w:cs="Tahoma"/>
          <w:noProof/>
        </w:rPr>
        <w:t xml:space="preserve"> visualize the interactions</w:t>
      </w:r>
      <w:r w:rsidR="009A32AB">
        <w:rPr>
          <w:rFonts w:ascii="Verdana" w:hAnsi="Verdana" w:cs="Tahoma"/>
          <w:noProof/>
        </w:rPr>
        <w:t xml:space="preserve"> between RhoA and mDIA/ROCK</w:t>
      </w:r>
      <w:r w:rsidR="006B7651">
        <w:rPr>
          <w:rFonts w:ascii="Verdana" w:hAnsi="Verdana" w:cs="Tahoma"/>
          <w:noProof/>
        </w:rPr>
        <w:t xml:space="preserve">. We </w:t>
      </w:r>
      <w:r w:rsidR="00AC3940">
        <w:rPr>
          <w:rFonts w:ascii="Verdana" w:hAnsi="Verdana" w:cs="Tahoma"/>
          <w:noProof/>
        </w:rPr>
        <w:t xml:space="preserve">performed </w:t>
      </w:r>
      <w:r w:rsidR="006B7651">
        <w:rPr>
          <w:rFonts w:ascii="Verdana" w:hAnsi="Verdana" w:cs="Tahoma"/>
          <w:noProof/>
        </w:rPr>
        <w:t>PLA</w:t>
      </w:r>
      <w:r w:rsidR="00AC3940">
        <w:rPr>
          <w:rFonts w:ascii="Verdana" w:hAnsi="Verdana" w:cs="Tahoma"/>
          <w:noProof/>
        </w:rPr>
        <w:t xml:space="preserve"> in MDA-MB231 breast cancer cell line in different conditions. </w:t>
      </w:r>
      <w:r w:rsidR="0027361A">
        <w:rPr>
          <w:rFonts w:ascii="Verdana" w:hAnsi="Verdana" w:cs="Tahoma"/>
          <w:noProof/>
        </w:rPr>
        <w:t>We used 3 different cell lines: the control cell line and two mDIA1 knockdown cell lines</w:t>
      </w:r>
      <w:r w:rsidR="006B7651">
        <w:rPr>
          <w:rFonts w:ascii="Verdana" w:hAnsi="Verdana" w:cs="Tahoma"/>
          <w:noProof/>
        </w:rPr>
        <w:t>, which were developed previously in the Dr.Innocenti's group</w:t>
      </w:r>
      <w:r w:rsidR="0027361A">
        <w:rPr>
          <w:rFonts w:ascii="Verdana" w:hAnsi="Verdana" w:cs="Tahoma"/>
          <w:noProof/>
        </w:rPr>
        <w:t>. Further we treated the mentioned cell lines with the</w:t>
      </w:r>
      <w:r w:rsidR="00AC3940">
        <w:rPr>
          <w:rFonts w:ascii="Verdana" w:hAnsi="Verdana" w:cs="Tahoma"/>
          <w:noProof/>
        </w:rPr>
        <w:t xml:space="preserve"> ROCK inhibitor Y27563.</w:t>
      </w:r>
      <w:r w:rsidR="0027361A">
        <w:rPr>
          <w:rFonts w:ascii="Verdana" w:hAnsi="Verdana" w:cs="Tahoma"/>
          <w:noProof/>
        </w:rPr>
        <w:t xml:space="preserve"> These experiments</w:t>
      </w:r>
      <w:r w:rsidR="006B7651">
        <w:rPr>
          <w:rFonts w:ascii="Verdana" w:hAnsi="Verdana" w:cs="Tahoma"/>
          <w:noProof/>
        </w:rPr>
        <w:t xml:space="preserve"> were</w:t>
      </w:r>
      <w:r w:rsidR="0027361A">
        <w:rPr>
          <w:rFonts w:ascii="Verdana" w:hAnsi="Verdana" w:cs="Tahoma"/>
          <w:noProof/>
        </w:rPr>
        <w:t xml:space="preserve"> meant to show how the</w:t>
      </w:r>
      <w:r w:rsidR="006B7651">
        <w:rPr>
          <w:rFonts w:ascii="Verdana" w:hAnsi="Verdana" w:cs="Tahoma"/>
          <w:noProof/>
        </w:rPr>
        <w:t xml:space="preserve"> RhoA-mDIA and RhoA-ROCK interactions </w:t>
      </w:r>
      <w:r w:rsidR="00F27D34">
        <w:rPr>
          <w:rFonts w:ascii="Verdana" w:hAnsi="Verdana" w:cs="Tahoma"/>
          <w:noProof/>
        </w:rPr>
        <w:t xml:space="preserve">can be affected by inhibition of ROCK or mDIA1 respectively. Although we did not see the difference in the RhoA-ROCK interaction upon  mDIA1 inhibition, our </w:t>
      </w:r>
      <w:r w:rsidR="00AC3940">
        <w:rPr>
          <w:rFonts w:ascii="Verdana" w:hAnsi="Verdana" w:cs="Tahoma"/>
          <w:noProof/>
        </w:rPr>
        <w:t>results show that number of RhoA-mDIA1 interactions greatly decrease (up to 60%) upon ROCK inhibition</w:t>
      </w:r>
      <w:r>
        <w:rPr>
          <w:rFonts w:ascii="Verdana" w:hAnsi="Verdana" w:cs="Tahoma"/>
          <w:noProof/>
        </w:rPr>
        <w:t xml:space="preserve">. </w:t>
      </w:r>
    </w:p>
    <w:p w14:paraId="1265E47D" w14:textId="77777777" w:rsidR="0002783B" w:rsidRDefault="0002783B" w:rsidP="002152F0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Verdana" w:hAnsi="Verdana" w:cs="Tahoma"/>
          <w:noProof/>
        </w:rPr>
      </w:pPr>
      <w:r>
        <w:rPr>
          <w:rFonts w:ascii="Verdana" w:hAnsi="Verdana" w:cs="Tahoma"/>
          <w:noProof/>
        </w:rPr>
        <w:t xml:space="preserve">                 </w:t>
      </w:r>
    </w:p>
    <w:p w14:paraId="440BF57E" w14:textId="55939878" w:rsidR="001A3F73" w:rsidRDefault="0002783B" w:rsidP="009A32AB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Verdana" w:hAnsi="Verdana" w:cs="Tahoma"/>
          <w:noProof/>
        </w:rPr>
      </w:pPr>
      <w:r>
        <w:rPr>
          <w:rFonts w:ascii="Verdana" w:hAnsi="Verdana" w:cs="Tahoma"/>
          <w:noProof/>
        </w:rPr>
        <w:lastRenderedPageBreak/>
        <w:t xml:space="preserve">                 To asess the biological effect of the ROCK inhibition on RhoA-mDIA interactions we have performed various motility assays. These assays include serum starved and EGF stimulated conditions</w:t>
      </w:r>
      <w:r w:rsidR="00F27D34">
        <w:rPr>
          <w:rFonts w:ascii="Verdana" w:hAnsi="Verdana" w:cs="Tahoma"/>
          <w:noProof/>
        </w:rPr>
        <w:t xml:space="preserve"> in presence or absence of ROCK inhibitor</w:t>
      </w:r>
      <w:r>
        <w:rPr>
          <w:rFonts w:ascii="Verdana" w:hAnsi="Verdana" w:cs="Tahoma"/>
          <w:noProof/>
        </w:rPr>
        <w:t xml:space="preserve">. The results show that upon ROCK inhibition the directional migration significantly increases, </w:t>
      </w:r>
      <w:r w:rsidR="003F7050">
        <w:rPr>
          <w:rFonts w:ascii="Verdana" w:hAnsi="Verdana" w:cs="Tahoma"/>
          <w:noProof/>
        </w:rPr>
        <w:t>which might suggest</w:t>
      </w:r>
      <w:r>
        <w:rPr>
          <w:rFonts w:ascii="Verdana" w:hAnsi="Verdana" w:cs="Tahoma"/>
          <w:noProof/>
        </w:rPr>
        <w:t xml:space="preserve"> that mDIA-RhoA plays an important role in the cell directionality during motility.</w:t>
      </w:r>
      <w:r w:rsidR="003F7050">
        <w:rPr>
          <w:rFonts w:ascii="Verdana" w:hAnsi="Verdana" w:cs="Tahoma"/>
          <w:noProof/>
        </w:rPr>
        <w:t xml:space="preserve"> Further assessment of th</w:t>
      </w:r>
      <w:r w:rsidR="00F27D34">
        <w:rPr>
          <w:rFonts w:ascii="Verdana" w:hAnsi="Verdana" w:cs="Tahoma"/>
          <w:noProof/>
        </w:rPr>
        <w:t>is</w:t>
      </w:r>
      <w:r w:rsidR="003F7050">
        <w:rPr>
          <w:rFonts w:ascii="Verdana" w:hAnsi="Verdana" w:cs="Tahoma"/>
          <w:noProof/>
        </w:rPr>
        <w:t xml:space="preserve"> hypothesis is required.</w:t>
      </w:r>
    </w:p>
    <w:p w14:paraId="6B1893F2" w14:textId="77777777" w:rsidR="008C1464" w:rsidRDefault="008C1464" w:rsidP="009A32AB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Verdana" w:hAnsi="Verdana" w:cs="Tahoma"/>
          <w:noProof/>
        </w:rPr>
      </w:pPr>
    </w:p>
    <w:p w14:paraId="28F08FB2" w14:textId="17754B1D" w:rsidR="008C1464" w:rsidRDefault="008C1464" w:rsidP="009A32AB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Verdana" w:hAnsi="Verdana" w:cs="Tahoma"/>
          <w:noProof/>
        </w:rPr>
      </w:pPr>
      <w:r>
        <w:rPr>
          <w:rFonts w:ascii="Verdana" w:hAnsi="Verdana" w:cs="Tahoma"/>
          <w:noProof/>
        </w:rPr>
        <w:t xml:space="preserve">                [1]</w:t>
      </w:r>
      <w:r w:rsidR="00CD292F">
        <w:rPr>
          <w:rFonts w:ascii="Verdana" w:hAnsi="Verdana" w:cs="Tahoma"/>
          <w:noProof/>
        </w:rPr>
        <w:t xml:space="preserve"> A.Lambrechts, M.Van Troys and C.Ampe, The international journal of biochemistry and cell biology, 2004</w:t>
      </w:r>
    </w:p>
    <w:p w14:paraId="2FC55EFB" w14:textId="4D3CDFC8" w:rsidR="008C1464" w:rsidRDefault="008C1464" w:rsidP="009A32AB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Verdana" w:hAnsi="Verdana" w:cs="Tahoma"/>
          <w:noProof/>
        </w:rPr>
      </w:pPr>
      <w:r>
        <w:rPr>
          <w:rFonts w:ascii="Verdana" w:hAnsi="Verdana" w:cs="Tahoma"/>
          <w:noProof/>
        </w:rPr>
        <w:t xml:space="preserve">                [2]</w:t>
      </w:r>
      <w:r w:rsidR="00CD292F">
        <w:rPr>
          <w:rFonts w:ascii="Verdana" w:hAnsi="Verdana" w:cs="Tahoma"/>
          <w:noProof/>
        </w:rPr>
        <w:t xml:space="preserve"> S.Narumiya, M.Tanji, T.Ishizaki, Cancer Metastasis Rev., 2009</w:t>
      </w:r>
    </w:p>
    <w:p w14:paraId="72A59763" w14:textId="4DF929D1" w:rsidR="008C1464" w:rsidRDefault="008C1464" w:rsidP="009A32AB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Verdana" w:hAnsi="Verdana" w:cs="Tahoma"/>
          <w:noProof/>
        </w:rPr>
      </w:pPr>
      <w:r>
        <w:rPr>
          <w:rFonts w:ascii="Verdana" w:hAnsi="Verdana" w:cs="Tahoma"/>
          <w:noProof/>
        </w:rPr>
        <w:t xml:space="preserve">        </w:t>
      </w:r>
    </w:p>
    <w:p w14:paraId="19D5B56C" w14:textId="77777777" w:rsidR="00907A12" w:rsidRDefault="00497B5F" w:rsidP="002152F0">
      <w:pPr>
        <w:tabs>
          <w:tab w:val="left" w:pos="709"/>
        </w:tabs>
        <w:autoSpaceDE w:val="0"/>
        <w:autoSpaceDN w:val="0"/>
        <w:adjustRightInd w:val="0"/>
        <w:ind w:left="709" w:hanging="142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fldChar w:fldCharType="end"/>
      </w:r>
    </w:p>
    <w:p w14:paraId="369DB120" w14:textId="77777777"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14:paraId="5AA0D7A3" w14:textId="77777777" w:rsidR="007E03EC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>Future collaboration with host institution (if applicable)</w:t>
      </w:r>
    </w:p>
    <w:p w14:paraId="677D7F33" w14:textId="77777777"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14:paraId="5485B273" w14:textId="6AC614A9" w:rsidR="007E03EC" w:rsidRDefault="00497B5F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tab/>
      </w: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CE75E7">
        <w:rPr>
          <w:rFonts w:ascii="Verdana" w:hAnsi="Verdana" w:cs="Tahoma"/>
          <w:noProof/>
        </w:rPr>
        <w:t xml:space="preserve"> </w:t>
      </w:r>
      <w:r w:rsidR="009741B7">
        <w:rPr>
          <w:rFonts w:ascii="Verdana" w:hAnsi="Verdana" w:cs="Tahoma"/>
          <w:noProof/>
        </w:rPr>
        <w:t>Th</w:t>
      </w:r>
      <w:r w:rsidR="0068621F">
        <w:rPr>
          <w:rFonts w:ascii="Verdana" w:hAnsi="Verdana" w:cs="Tahoma"/>
          <w:noProof/>
        </w:rPr>
        <w:t>is visit helped to establish</w:t>
      </w:r>
      <w:r w:rsidR="009741B7">
        <w:rPr>
          <w:rFonts w:ascii="Verdana" w:hAnsi="Verdana" w:cs="Tahoma"/>
          <w:noProof/>
        </w:rPr>
        <w:t xml:space="preserve"> collaboration between the experimental group of Dr.Innocenti at the Netherlands Cancer Institute and the modeling Prof.Kholodenko's group in Systems Biology Ireland</w:t>
      </w:r>
      <w:r w:rsidR="0068621F">
        <w:rPr>
          <w:rFonts w:ascii="Verdana" w:hAnsi="Verdana" w:cs="Tahoma"/>
          <w:noProof/>
        </w:rPr>
        <w:t xml:space="preserve">. In future, we plan to </w:t>
      </w:r>
      <w:r w:rsidR="00F27D34">
        <w:rPr>
          <w:rFonts w:ascii="Verdana" w:hAnsi="Verdana" w:cs="Tahoma"/>
          <w:noProof/>
        </w:rPr>
        <w:t>collaborate on the project involving RhoA-mDIA and RhoA-ROCK interactions as well as developing a final model for Dr.Innocenti's data.</w:t>
      </w:r>
      <w:r w:rsidR="00CD292F">
        <w:rPr>
          <w:rFonts w:ascii="Verdana" w:hAnsi="Verdana" w:cs="Tahoma"/>
          <w:noProof/>
        </w:rPr>
        <w:t xml:space="preserve"> </w:t>
      </w:r>
      <w:bookmarkStart w:id="1" w:name="_GoBack"/>
      <w:bookmarkEnd w:id="1"/>
      <w:r w:rsidR="00C90713">
        <w:rPr>
          <w:rFonts w:ascii="Verdana" w:hAnsi="Verdana" w:cs="Tahoma"/>
          <w:noProof/>
        </w:rPr>
        <w:t>Hopefully, this visit will establish a long term collaboration working on the project of cell migration.</w:t>
      </w:r>
      <w:r w:rsidR="0068621F">
        <w:rPr>
          <w:rFonts w:ascii="Verdana" w:hAnsi="Verdana" w:cs="Tahoma"/>
          <w:noProof/>
        </w:rPr>
        <w:t xml:space="preserve"> </w:t>
      </w:r>
      <w:r>
        <w:rPr>
          <w:rFonts w:ascii="Verdana" w:hAnsi="Verdana" w:cs="Tahoma"/>
          <w:noProof/>
        </w:rPr>
        <w:fldChar w:fldCharType="end"/>
      </w:r>
    </w:p>
    <w:p w14:paraId="281BC756" w14:textId="77777777"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14:paraId="4CBAF4C0" w14:textId="77777777" w:rsidR="007E03EC" w:rsidRPr="00E02D0D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i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 xml:space="preserve">Projected publications / articles resulting or to result from the grant </w:t>
      </w:r>
      <w:r w:rsidRPr="00E02D0D">
        <w:rPr>
          <w:rFonts w:ascii="Arial" w:hAnsi="Arial" w:cs="Arial"/>
          <w:b/>
          <w:i/>
          <w:color w:val="5F5F5F"/>
          <w:sz w:val="22"/>
          <w:szCs w:val="22"/>
        </w:rPr>
        <w:t>(ESF must be acknowledged in publications resulting from the grantee’s work in relation with the grant)</w:t>
      </w:r>
    </w:p>
    <w:p w14:paraId="3B4C40AB" w14:textId="77777777"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14:paraId="7759AE91" w14:textId="7EED43B8" w:rsidR="007E03EC" w:rsidRDefault="00497B5F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9741B7">
        <w:rPr>
          <w:rFonts w:ascii="Verdana" w:hAnsi="Verdana" w:cs="Tahoma"/>
          <w:noProof/>
        </w:rPr>
        <w:t>"</w:t>
      </w:r>
      <w:r w:rsidR="00E63189">
        <w:rPr>
          <w:rFonts w:ascii="Verdana" w:hAnsi="Verdana" w:cs="Tahoma"/>
          <w:noProof/>
        </w:rPr>
        <w:t xml:space="preserve">Role of </w:t>
      </w:r>
      <w:r w:rsidR="009741B7">
        <w:rPr>
          <w:rFonts w:ascii="Verdana" w:hAnsi="Verdana" w:cs="Tahoma"/>
          <w:noProof/>
        </w:rPr>
        <w:t xml:space="preserve">RhoA </w:t>
      </w:r>
      <w:r w:rsidR="00E63189">
        <w:rPr>
          <w:rFonts w:ascii="Verdana" w:hAnsi="Verdana" w:cs="Tahoma"/>
          <w:noProof/>
        </w:rPr>
        <w:t xml:space="preserve">interaction </w:t>
      </w:r>
      <w:r w:rsidR="009741B7">
        <w:rPr>
          <w:rFonts w:ascii="Verdana" w:hAnsi="Verdana" w:cs="Tahoma"/>
          <w:noProof/>
        </w:rPr>
        <w:t xml:space="preserve">with </w:t>
      </w:r>
      <w:r w:rsidR="00E63189">
        <w:rPr>
          <w:rFonts w:ascii="Verdana" w:hAnsi="Verdana" w:cs="Tahoma"/>
          <w:noProof/>
        </w:rPr>
        <w:t>i</w:t>
      </w:r>
      <w:r w:rsidR="009741B7">
        <w:rPr>
          <w:rFonts w:ascii="Verdana" w:hAnsi="Verdana" w:cs="Tahoma"/>
          <w:noProof/>
        </w:rPr>
        <w:t>ts effector</w:t>
      </w:r>
      <w:r w:rsidR="00B370F9">
        <w:rPr>
          <w:rFonts w:ascii="Verdana" w:hAnsi="Verdana" w:cs="Tahoma"/>
          <w:noProof/>
        </w:rPr>
        <w:t xml:space="preserve"> proteins </w:t>
      </w:r>
      <w:r w:rsidR="003F7050">
        <w:rPr>
          <w:rFonts w:ascii="Verdana" w:hAnsi="Verdana" w:cs="Tahoma"/>
          <w:noProof/>
        </w:rPr>
        <w:t>in directed migration</w:t>
      </w:r>
      <w:r w:rsidR="009741B7">
        <w:rPr>
          <w:rFonts w:ascii="Verdana" w:hAnsi="Verdana" w:cs="Tahoma"/>
          <w:noProof/>
        </w:rPr>
        <w:t>" in progress (to be published in 2014)</w:t>
      </w:r>
      <w:r>
        <w:rPr>
          <w:rFonts w:ascii="Verdana" w:hAnsi="Verdana" w:cs="Tahoma"/>
          <w:noProof/>
        </w:rPr>
        <w:fldChar w:fldCharType="end"/>
      </w:r>
    </w:p>
    <w:p w14:paraId="468AF7B2" w14:textId="77777777"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14:paraId="5C4D4DCA" w14:textId="77777777" w:rsidR="00907A12" w:rsidRPr="00497B5F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  <w:r w:rsidRPr="00497B5F">
        <w:rPr>
          <w:rFonts w:ascii="Arial" w:hAnsi="Arial" w:cs="Arial"/>
          <w:b/>
          <w:color w:val="5F5F5F"/>
          <w:sz w:val="22"/>
          <w:szCs w:val="22"/>
        </w:rPr>
        <w:t>Other comments (if any)</w:t>
      </w:r>
    </w:p>
    <w:p w14:paraId="1CAE2E54" w14:textId="77777777" w:rsidR="00907A12" w:rsidRPr="00D94C01" w:rsidRDefault="00907A12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14:paraId="61340E3A" w14:textId="77777777" w:rsidR="00E64B66" w:rsidRDefault="00497B5F" w:rsidP="008761A9">
      <w:pPr>
        <w:autoSpaceDE w:val="0"/>
        <w:autoSpaceDN w:val="0"/>
        <w:adjustRightInd w:val="0"/>
        <w:ind w:left="720" w:hanging="11"/>
        <w:jc w:val="both"/>
        <w:rPr>
          <w:rFonts w:ascii="Arial" w:hAnsi="Arial" w:cs="Lucida Sans Unicode"/>
          <w:b/>
          <w:color w:val="595959"/>
          <w:sz w:val="22"/>
          <w:szCs w:val="22"/>
        </w:rPr>
      </w:pP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3F7050">
        <w:rPr>
          <w:rFonts w:ascii="Verdana" w:hAnsi="Verdana" w:cs="Tahoma"/>
          <w:noProof/>
        </w:rPr>
        <w:t xml:space="preserve">I would like to thank again the Quantissue granting committee for providing the financial support to pursue the internship at the Netherlands Cancer Institute. </w:t>
      </w:r>
      <w:r>
        <w:rPr>
          <w:rFonts w:ascii="Verdana" w:hAnsi="Verdana" w:cs="Tahoma"/>
          <w:noProof/>
        </w:rPr>
        <w:fldChar w:fldCharType="end"/>
      </w:r>
    </w:p>
    <w:sectPr w:rsidR="00E64B66" w:rsidSect="00025A6F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72D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05817"/>
    <w:multiLevelType w:val="hybridMultilevel"/>
    <w:tmpl w:val="7ED2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7241"/>
    <w:multiLevelType w:val="hybridMultilevel"/>
    <w:tmpl w:val="1C900C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54C0"/>
    <w:multiLevelType w:val="hybridMultilevel"/>
    <w:tmpl w:val="F020A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33C8B"/>
    <w:multiLevelType w:val="hybridMultilevel"/>
    <w:tmpl w:val="E85472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944C0"/>
    <w:multiLevelType w:val="hybridMultilevel"/>
    <w:tmpl w:val="8CAC1C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01195"/>
    <w:multiLevelType w:val="hybridMultilevel"/>
    <w:tmpl w:val="BD1C7998"/>
    <w:lvl w:ilvl="0" w:tplc="5276FA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F4937"/>
    <w:multiLevelType w:val="hybridMultilevel"/>
    <w:tmpl w:val="A02C48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53219"/>
    <w:multiLevelType w:val="hybridMultilevel"/>
    <w:tmpl w:val="4976C42E"/>
    <w:lvl w:ilvl="0" w:tplc="D3C488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CC6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60094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130ED1"/>
    <w:multiLevelType w:val="hybridMultilevel"/>
    <w:tmpl w:val="EAA8C7CA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B678C"/>
    <w:multiLevelType w:val="hybridMultilevel"/>
    <w:tmpl w:val="4ED0F1A4"/>
    <w:lvl w:ilvl="0" w:tplc="FE942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C4"/>
    <w:rsid w:val="00025A6F"/>
    <w:rsid w:val="0002783B"/>
    <w:rsid w:val="000A0801"/>
    <w:rsid w:val="000F4352"/>
    <w:rsid w:val="00113DAD"/>
    <w:rsid w:val="00173BDF"/>
    <w:rsid w:val="00195F1C"/>
    <w:rsid w:val="001A3F73"/>
    <w:rsid w:val="001D2927"/>
    <w:rsid w:val="001D3D1B"/>
    <w:rsid w:val="001D4219"/>
    <w:rsid w:val="001E0FB1"/>
    <w:rsid w:val="00205F52"/>
    <w:rsid w:val="00211F35"/>
    <w:rsid w:val="00214932"/>
    <w:rsid w:val="002152F0"/>
    <w:rsid w:val="0027361A"/>
    <w:rsid w:val="00291B49"/>
    <w:rsid w:val="002C25E5"/>
    <w:rsid w:val="003141AE"/>
    <w:rsid w:val="00350BAD"/>
    <w:rsid w:val="00371C4A"/>
    <w:rsid w:val="003F7050"/>
    <w:rsid w:val="00401D43"/>
    <w:rsid w:val="00472CCC"/>
    <w:rsid w:val="004861F5"/>
    <w:rsid w:val="00497B5F"/>
    <w:rsid w:val="004A0D37"/>
    <w:rsid w:val="004A1EC1"/>
    <w:rsid w:val="004A5155"/>
    <w:rsid w:val="00517485"/>
    <w:rsid w:val="00585762"/>
    <w:rsid w:val="005B1FDC"/>
    <w:rsid w:val="005B3810"/>
    <w:rsid w:val="00623832"/>
    <w:rsid w:val="00653F42"/>
    <w:rsid w:val="0068621F"/>
    <w:rsid w:val="00693B5B"/>
    <w:rsid w:val="006B7651"/>
    <w:rsid w:val="006D320B"/>
    <w:rsid w:val="007419DB"/>
    <w:rsid w:val="00782EB8"/>
    <w:rsid w:val="00794E89"/>
    <w:rsid w:val="007E03EC"/>
    <w:rsid w:val="008161A3"/>
    <w:rsid w:val="00823EA2"/>
    <w:rsid w:val="008761A9"/>
    <w:rsid w:val="008C1464"/>
    <w:rsid w:val="008F1B1B"/>
    <w:rsid w:val="00902B41"/>
    <w:rsid w:val="00907A12"/>
    <w:rsid w:val="00926E8E"/>
    <w:rsid w:val="00944825"/>
    <w:rsid w:val="009741B7"/>
    <w:rsid w:val="009A32AB"/>
    <w:rsid w:val="009E092C"/>
    <w:rsid w:val="009F3A0E"/>
    <w:rsid w:val="00A20FE3"/>
    <w:rsid w:val="00AC3940"/>
    <w:rsid w:val="00AC46D6"/>
    <w:rsid w:val="00B24AD3"/>
    <w:rsid w:val="00B370F9"/>
    <w:rsid w:val="00B44342"/>
    <w:rsid w:val="00BB6CBB"/>
    <w:rsid w:val="00C12EBF"/>
    <w:rsid w:val="00C90713"/>
    <w:rsid w:val="00CB5CC8"/>
    <w:rsid w:val="00CC359C"/>
    <w:rsid w:val="00CD292F"/>
    <w:rsid w:val="00CE75E7"/>
    <w:rsid w:val="00D01EFE"/>
    <w:rsid w:val="00D31B87"/>
    <w:rsid w:val="00D3575C"/>
    <w:rsid w:val="00D56B85"/>
    <w:rsid w:val="00D73FD9"/>
    <w:rsid w:val="00D94C01"/>
    <w:rsid w:val="00DA63C4"/>
    <w:rsid w:val="00DB70EC"/>
    <w:rsid w:val="00E02D0D"/>
    <w:rsid w:val="00E63189"/>
    <w:rsid w:val="00E64B66"/>
    <w:rsid w:val="00E71F27"/>
    <w:rsid w:val="00E748C5"/>
    <w:rsid w:val="00EA6E49"/>
    <w:rsid w:val="00F27D34"/>
    <w:rsid w:val="00F71115"/>
    <w:rsid w:val="00F97494"/>
    <w:rsid w:val="00FA6C90"/>
    <w:rsid w:val="00FC5B0B"/>
    <w:rsid w:val="00FD2DA7"/>
    <w:rsid w:val="00FE004D"/>
    <w:rsid w:val="00FE3BC1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75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C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C4"/>
    <w:pPr>
      <w:ind w:left="720"/>
    </w:pPr>
  </w:style>
  <w:style w:type="paragraph" w:styleId="BalloonText">
    <w:name w:val="Balloon Text"/>
    <w:basedOn w:val="Normal"/>
    <w:link w:val="BalloonTextChar"/>
    <w:rsid w:val="00693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3B5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12E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C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C4"/>
    <w:pPr>
      <w:ind w:left="720"/>
    </w:pPr>
  </w:style>
  <w:style w:type="paragraph" w:styleId="BalloonText">
    <w:name w:val="Balloon Text"/>
    <w:basedOn w:val="Normal"/>
    <w:link w:val="BalloonTextChar"/>
    <w:rsid w:val="00693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3B5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12E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07A6-95D0-B446-A740-F576920D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866</Words>
  <Characters>4937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ESF</Company>
  <LinksUpToDate>false</LinksUpToDate>
  <CharactersWithSpaces>5792</CharactersWithSpaces>
  <SharedDoc>false</SharedDoc>
  <HLinks>
    <vt:vector size="6" baseType="variant">
      <vt:variant>
        <vt:i4>6553700</vt:i4>
      </vt:variant>
      <vt:variant>
        <vt:i4>2049</vt:i4>
      </vt:variant>
      <vt:variant>
        <vt:i4>1025</vt:i4>
      </vt:variant>
      <vt:variant>
        <vt:i4>1</vt:i4>
      </vt:variant>
      <vt:variant>
        <vt:lpwstr>esf_green_logo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</dc:creator>
  <cp:keywords/>
  <cp:lastModifiedBy>Elena Nikonova</cp:lastModifiedBy>
  <cp:revision>6</cp:revision>
  <cp:lastPrinted>2014-02-13T12:47:00Z</cp:lastPrinted>
  <dcterms:created xsi:type="dcterms:W3CDTF">2014-03-12T13:55:00Z</dcterms:created>
  <dcterms:modified xsi:type="dcterms:W3CDTF">2014-03-14T13:21:00Z</dcterms:modified>
</cp:coreProperties>
</file>